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50D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p>
    <w:p w14:paraId="344631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p>
    <w:p w14:paraId="085E3C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p>
    <w:p w14:paraId="403ED6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方正小标宋简体" w:cs="楷体_GB2312"/>
          <w:color w:val="000000"/>
          <w:sz w:val="32"/>
          <w:szCs w:val="32"/>
          <w:lang w:val="en-US" w:eastAsia="zh-CN"/>
        </w:rPr>
      </w:pPr>
      <w:r>
        <w:rPr>
          <w:rFonts w:hint="eastAsia" w:ascii="方正小标宋简体" w:hAnsi="方正小标宋简体" w:eastAsia="方正小标宋简体" w:cs="方正小标宋简体"/>
          <w:color w:val="000000"/>
          <w:sz w:val="44"/>
          <w:szCs w:val="44"/>
        </w:rPr>
        <w:t>贵州省反邪教协会</w:t>
      </w:r>
      <w:r>
        <w:rPr>
          <w:rFonts w:hint="eastAsia" w:ascii="方正小标宋简体" w:hAnsi="方正小标宋简体" w:eastAsia="方正小标宋简体" w:cs="方正小标宋简体"/>
          <w:color w:val="000000"/>
          <w:sz w:val="44"/>
          <w:szCs w:val="44"/>
          <w:lang w:val="en-US" w:eastAsia="zh-CN"/>
        </w:rPr>
        <w:t>事迹材料</w:t>
      </w:r>
    </w:p>
    <w:p w14:paraId="13304A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color w:val="000000"/>
          <w:sz w:val="32"/>
          <w:szCs w:val="32"/>
          <w:lang w:val="en-US" w:eastAsia="zh-CN"/>
        </w:rPr>
      </w:pPr>
    </w:p>
    <w:p w14:paraId="0DBC46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贵州省反邪教协会在贵州省委政法委、贵州省科协、中国反邪教协会的指导下，围绕全国全省反邪教工作总体部署，准确把握反邪教工作的新任务新要求，履职尽责，担当使命，有效铸牢人民群众识邪、防邪、拒邪第一防线，在促进乡风文明、维护社会安定、共建平安贵州工作中贡献应有力量。</w:t>
      </w:r>
    </w:p>
    <w:p w14:paraId="30F4F1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一、坚持党建引领保证组织体系持续高效运行</w:t>
      </w:r>
    </w:p>
    <w:p w14:paraId="1161C5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一是加强党的建设强引领。</w:t>
      </w:r>
      <w:r>
        <w:rPr>
          <w:rFonts w:hint="eastAsia" w:ascii="仿宋_GB2312" w:hAnsi="仿宋_GB2312" w:eastAsia="仿宋_GB2312" w:cs="仿宋_GB2312"/>
          <w:color w:val="auto"/>
          <w:sz w:val="32"/>
          <w:szCs w:val="32"/>
          <w:lang w:val="en-US" w:eastAsia="zh-CN"/>
        </w:rPr>
        <w:t>建立“年会+联建”（即协会年会和党建联建）模式，切实落实“两个覆盖”要求，加强对协会工作的政治领导，切实把坚决拥护“两个确立”的政治成果转化为坚决做到“两个维护”的政治自觉。</w:t>
      </w:r>
      <w:r>
        <w:rPr>
          <w:rFonts w:hint="eastAsia" w:ascii="楷体_GB2312" w:hAnsi="楷体_GB2312" w:eastAsia="楷体_GB2312" w:cs="楷体_GB2312"/>
          <w:color w:val="auto"/>
          <w:sz w:val="32"/>
          <w:szCs w:val="32"/>
          <w:lang w:val="en-US" w:eastAsia="zh-CN"/>
        </w:rPr>
        <w:t>二是加强机制建设管长远。</w:t>
      </w:r>
      <w:r>
        <w:rPr>
          <w:rFonts w:hint="eastAsia" w:ascii="仿宋_GB2312" w:hAnsi="仿宋_GB2312" w:eastAsia="仿宋_GB2312" w:cs="仿宋_GB2312"/>
          <w:color w:val="auto"/>
          <w:sz w:val="32"/>
          <w:szCs w:val="32"/>
          <w:lang w:val="en-US" w:eastAsia="zh-CN"/>
        </w:rPr>
        <w:t>制定和完善了《贵州省反邪教协会章程》《贵州省反邪教协会工作规则》，对省反邪教协会财务管理及报销审批、公务接待管理、宣教师资队伍建设及师资费标准等方面进行了规范。搭建宗教界与政法系统、科协系统、监狱系统沟通平台，反邪阵线进一步扩大，各领域信息沟通更加顺畅。</w:t>
      </w:r>
      <w:r>
        <w:rPr>
          <w:rFonts w:hint="eastAsia" w:ascii="楷体_GB2312" w:hAnsi="楷体_GB2312" w:eastAsia="楷体_GB2312" w:cs="楷体_GB2312"/>
          <w:color w:val="auto"/>
          <w:sz w:val="32"/>
          <w:szCs w:val="32"/>
          <w:lang w:val="en-US" w:eastAsia="zh-CN"/>
        </w:rPr>
        <w:t>三是加强组织建设夯根基。</w:t>
      </w:r>
      <w:r>
        <w:rPr>
          <w:rFonts w:hint="eastAsia" w:ascii="仿宋_GB2312" w:hAnsi="仿宋_GB2312" w:eastAsia="仿宋_GB2312" w:cs="仿宋_GB2312"/>
          <w:color w:val="auto"/>
          <w:sz w:val="32"/>
          <w:szCs w:val="32"/>
          <w:lang w:val="en-US" w:eastAsia="zh-CN"/>
        </w:rPr>
        <w:t>选优配强理事会，结合工作需要，组建由政法、宗教、监狱、科协等系统有影响力、想干事、能干事的人员组成的理事会，提升省级协会工作领导水平。科学指导全省各级反邪教协会建设，基层反邪教协会覆盖9个市（州）、66个县（市、区），组织覆盖面和工作活力持续提升。</w:t>
      </w:r>
    </w:p>
    <w:p w14:paraId="71D2F5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二、坚持扎根一线多措并举不断建强“第一防线”</w:t>
      </w:r>
    </w:p>
    <w:p w14:paraId="201900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一是开展培训加强宣教队伍建设。</w:t>
      </w:r>
      <w:r>
        <w:rPr>
          <w:rFonts w:hint="eastAsia" w:ascii="仿宋_GB2312" w:hAnsi="仿宋_GB2312" w:eastAsia="仿宋_GB2312" w:cs="仿宋_GB2312"/>
          <w:color w:val="auto"/>
          <w:sz w:val="32"/>
          <w:szCs w:val="32"/>
          <w:lang w:val="en-US" w:eastAsia="zh-CN"/>
        </w:rPr>
        <w:t>面向反邪教宣教队伍、基层反邪教协会工作人员，开展反邪教知识专业培训及理论研讨交流活动12次，基层一线工作人员水平持续提升。举办“贵州省反邪教业务研讨暨培训会”，邀请《薄荷茶社》网专家为我省各市（州）、县（市、区）科协、反邪教协会、政法委相关负责人和基层一线反邪教人员开展相关业务知识培训。</w:t>
      </w:r>
      <w:r>
        <w:rPr>
          <w:rFonts w:hint="eastAsia" w:ascii="楷体_GB2312" w:hAnsi="楷体_GB2312" w:eastAsia="楷体_GB2312" w:cs="楷体_GB2312"/>
          <w:color w:val="auto"/>
          <w:sz w:val="32"/>
          <w:szCs w:val="32"/>
          <w:lang w:val="en-US" w:eastAsia="zh-CN"/>
        </w:rPr>
        <w:t>二是编撰宣教读本加强理论武装。</w:t>
      </w:r>
      <w:r>
        <w:rPr>
          <w:rFonts w:hint="eastAsia" w:ascii="仿宋_GB2312" w:hAnsi="仿宋_GB2312" w:eastAsia="仿宋_GB2312" w:cs="仿宋_GB2312"/>
          <w:color w:val="auto"/>
          <w:sz w:val="32"/>
          <w:szCs w:val="32"/>
          <w:lang w:val="en-US" w:eastAsia="zh-CN"/>
        </w:rPr>
        <w:t>编印贵州省反邪科普系列手册1—8册，制作了《老村长讲故事》《崇尚科学 反对邪教“全能神”》《崇尚科学 远离邪教》《防范邪教常识》等宣教资料，2021年至今，面向大众发放反邪教宣传品10万余件。为适应形势的发展，</w:t>
      </w:r>
      <w:bookmarkStart w:id="0" w:name="_GoBack"/>
      <w:bookmarkEnd w:id="0"/>
      <w:r>
        <w:rPr>
          <w:rFonts w:hint="eastAsia" w:ascii="仿宋_GB2312" w:hAnsi="仿宋_GB2312" w:eastAsia="仿宋_GB2312" w:cs="仿宋_GB2312"/>
          <w:color w:val="auto"/>
          <w:sz w:val="32"/>
          <w:szCs w:val="32"/>
          <w:lang w:val="en-US" w:eastAsia="zh-CN"/>
        </w:rPr>
        <w:t>启动了全省规范反邪教工作科普用书编撰工作。</w:t>
      </w:r>
      <w:r>
        <w:rPr>
          <w:rFonts w:hint="eastAsia" w:ascii="楷体_GB2312" w:hAnsi="楷体_GB2312" w:eastAsia="楷体_GB2312" w:cs="楷体_GB2312"/>
          <w:color w:val="auto"/>
          <w:sz w:val="32"/>
          <w:szCs w:val="32"/>
          <w:lang w:val="en-US" w:eastAsia="zh-CN"/>
        </w:rPr>
        <w:t>三是多种形式并用持续广泛宣传。</w:t>
      </w:r>
      <w:r>
        <w:rPr>
          <w:rFonts w:hint="eastAsia" w:ascii="仿宋_GB2312" w:hAnsi="仿宋_GB2312" w:eastAsia="仿宋_GB2312" w:cs="仿宋_GB2312"/>
          <w:color w:val="auto"/>
          <w:sz w:val="32"/>
          <w:szCs w:val="32"/>
          <w:lang w:val="en-US" w:eastAsia="zh-CN"/>
        </w:rPr>
        <w:t>自2021年以来，省反邪教协会面向全省开展反邪教宣教活动400余场，“崇尚科学 反对邪教 健康你我”“治病救人 正确对待疾病苦难”“接受生命 回归本源”等宣教讲座，被中国反邪教网、凯风网和《中国反邪教通讯》等媒体面向全社会推介。开展“筑牢反邪防线·共建平安家园”短视频征集活动，浏览量超500万人次。</w:t>
      </w:r>
    </w:p>
    <w:p w14:paraId="62901B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三、坚持充分广泛吸纳多域合力持续提供智力支撑</w:t>
      </w:r>
    </w:p>
    <w:p w14:paraId="22B3E2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一是吸纳专家提升智库质量。</w:t>
      </w:r>
      <w:r>
        <w:rPr>
          <w:rFonts w:hint="eastAsia" w:ascii="仿宋_GB2312" w:hAnsi="仿宋_GB2312" w:eastAsia="仿宋_GB2312" w:cs="仿宋_GB2312"/>
          <w:color w:val="auto"/>
          <w:sz w:val="32"/>
          <w:szCs w:val="32"/>
          <w:lang w:val="en-US" w:eastAsia="zh-CN"/>
        </w:rPr>
        <w:t>建立贵州省反邪教专家库，广泛动员社会各界力量，在全省范围内遴选吸纳了30余名政治素质过硬、从事反邪教工作时间长的反邪教工作专家入库，为开展辅导授课、编制教材、开展受影响人员转化以及配合司法部门开展咨询等工作提供专家支持。</w:t>
      </w:r>
      <w:r>
        <w:rPr>
          <w:rFonts w:hint="eastAsia" w:ascii="楷体_GB2312" w:hAnsi="楷体_GB2312" w:eastAsia="楷体_GB2312" w:cs="楷体_GB2312"/>
          <w:color w:val="auto"/>
          <w:sz w:val="32"/>
          <w:szCs w:val="32"/>
          <w:lang w:val="en-US" w:eastAsia="zh-CN"/>
        </w:rPr>
        <w:t>二是加强研究贡献贵州经验。</w:t>
      </w:r>
      <w:r>
        <w:rPr>
          <w:rFonts w:hint="eastAsia" w:ascii="仿宋_GB2312" w:hAnsi="仿宋_GB2312" w:eastAsia="仿宋_GB2312" w:cs="仿宋_GB2312"/>
          <w:color w:val="auto"/>
          <w:sz w:val="32"/>
          <w:szCs w:val="32"/>
          <w:lang w:val="en-US" w:eastAsia="zh-CN"/>
        </w:rPr>
        <w:t>承接中国反邪教协会《“全能神”邪教的治理研究》课题，编撰《2022年贵州省反邪教理论研讨暨工作交流论文集》，编撰《贵州反邪教通讯》20期,近30篇文章获中国西部反邪教论坛奖项。</w:t>
      </w:r>
      <w:r>
        <w:rPr>
          <w:rFonts w:hint="eastAsia" w:ascii="楷体_GB2312" w:hAnsi="楷体_GB2312" w:eastAsia="楷体_GB2312" w:cs="楷体_GB2312"/>
          <w:color w:val="auto"/>
          <w:sz w:val="32"/>
          <w:szCs w:val="32"/>
          <w:lang w:val="en-US" w:eastAsia="zh-CN"/>
        </w:rPr>
        <w:t>三是密切配合开展专家咨询。</w:t>
      </w:r>
      <w:r>
        <w:rPr>
          <w:rFonts w:hint="eastAsia" w:ascii="仿宋_GB2312" w:hAnsi="仿宋_GB2312" w:eastAsia="仿宋_GB2312" w:cs="仿宋_GB2312"/>
          <w:color w:val="auto"/>
          <w:sz w:val="32"/>
          <w:szCs w:val="32"/>
          <w:lang w:val="en-US" w:eastAsia="zh-CN"/>
        </w:rPr>
        <w:t>联合宗教、医学等相关领域专家学者成功为公安、司法部门开展专家咨询，为划清封建迷信与宗教、科学的界限提供了理论依据，并为案件定性完善了证据链，为全省面上打击封建迷信活动提供了模板。</w:t>
      </w:r>
    </w:p>
    <w:p w14:paraId="40A256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时代赋予新使命，新要求促进新作为，贵州省反邪教协会将始终团结带领广大反邪教工作者围绕中心、服务大局，奋力推进全省反邪教工作迈向新台阶，持续服务平安贵州建设，为开创经济兴、百姓富、生态美的多彩贵州新未来贡献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Segoe Print"/>
    <w:panose1 w:val="00000000000000000000"/>
    <w:charset w:val="00"/>
    <w:family w:val="roma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NGUzNmNiM2M3NDk3MzJlN2M2YzVmNTUwYTQ3YzAifQ=="/>
  </w:docVars>
  <w:rsids>
    <w:rsidRoot w:val="00000000"/>
    <w:rsid w:val="05860158"/>
    <w:rsid w:val="071D689A"/>
    <w:rsid w:val="09722ECD"/>
    <w:rsid w:val="0F7F00F1"/>
    <w:rsid w:val="1053332C"/>
    <w:rsid w:val="153F2867"/>
    <w:rsid w:val="231352C9"/>
    <w:rsid w:val="271E248E"/>
    <w:rsid w:val="2CC43190"/>
    <w:rsid w:val="3680281D"/>
    <w:rsid w:val="373C2184"/>
    <w:rsid w:val="3DDB5959"/>
    <w:rsid w:val="402B1A4C"/>
    <w:rsid w:val="42F779C3"/>
    <w:rsid w:val="53AA01A7"/>
    <w:rsid w:val="55050666"/>
    <w:rsid w:val="587F6039"/>
    <w:rsid w:val="5F697A43"/>
    <w:rsid w:val="6289392C"/>
    <w:rsid w:val="655B398A"/>
    <w:rsid w:val="6D821E63"/>
    <w:rsid w:val="7A2A4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3"/>
    <w:basedOn w:val="1"/>
    <w:unhideWhenUsed/>
    <w:qFormat/>
    <w:uiPriority w:val="99"/>
    <w:rPr>
      <w:sz w:val="16"/>
    </w:rPr>
  </w:style>
  <w:style w:type="paragraph" w:styleId="3">
    <w:name w:val="Body Text"/>
    <w:basedOn w:val="1"/>
    <w:qFormat/>
    <w:uiPriority w:val="0"/>
    <w:rPr>
      <w:rFonts w:eastAsia="宋体"/>
      <w:sz w:val="32"/>
      <w:szCs w:val="24"/>
    </w:rPr>
  </w:style>
  <w:style w:type="paragraph" w:styleId="4">
    <w:name w:val="Balloon Text"/>
    <w:basedOn w:val="1"/>
    <w:next w:val="1"/>
    <w:qFormat/>
    <w:uiPriority w:val="0"/>
    <w:rPr>
      <w:rFonts w:ascii="Times New Roman" w:hAnsi="Times New Roman" w:eastAsia="宋体" w:cs="Times New Roman"/>
      <w:sz w:val="18"/>
      <w:szCs w:val="18"/>
    </w:rPr>
  </w:style>
  <w:style w:type="paragraph" w:styleId="5">
    <w:name w:val="Normal (Web)"/>
    <w:basedOn w:val="1"/>
    <w:next w:val="4"/>
    <w:qFormat/>
    <w:uiPriority w:val="0"/>
    <w:pPr>
      <w:spacing w:before="100" w:beforeAutospacing="1" w:after="100" w:afterAutospacing="1"/>
      <w:ind w:left="0" w:right="0"/>
      <w:jc w:val="left"/>
    </w:pPr>
    <w:rPr>
      <w:kern w:val="0"/>
      <w:sz w:val="24"/>
      <w:lang w:val="en-US" w:eastAsia="zh-CN" w:bidi="ar"/>
    </w:rPr>
  </w:style>
  <w:style w:type="paragraph" w:customStyle="1" w:styleId="8">
    <w:name w:val="正文-公1"/>
    <w:basedOn w:val="9"/>
    <w:next w:val="5"/>
    <w:qFormat/>
    <w:uiPriority w:val="0"/>
    <w:pPr>
      <w:ind w:firstLine="200" w:firstLineChars="200"/>
    </w:p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w:next w:val="8"/>
    <w:unhideWhenUsed/>
    <w:qFormat/>
    <w:uiPriority w:val="0"/>
    <w:pPr>
      <w:widowControl w:val="0"/>
      <w:spacing w:beforeLines="0" w:afterLines="0"/>
      <w:jc w:val="both"/>
    </w:pPr>
    <w:rPr>
      <w:rFonts w:hint="default" w:ascii="Times New Roman" w:hAnsi="Times New Roman" w:eastAsia="宋体" w:cs="Times New Roman"/>
      <w:kern w:val="2"/>
      <w:sz w:val="21"/>
      <w:szCs w:val="22"/>
      <w:lang w:val="en-US" w:eastAsia="zh-CN" w:bidi="ar-SA"/>
    </w:rPr>
  </w:style>
  <w:style w:type="paragraph" w:customStyle="1" w:styleId="10">
    <w:name w:val="正文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2"/>
      <w:szCs w:val="22"/>
      <w:u w:val="none" w:color="auto"/>
      <w:shd w:val="clear" w:color="auto" w:fill="auto"/>
      <w:vertAlign w:val="baseline"/>
      <w:lang w:val="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1173</Words>
  <Characters>1180</Characters>
  <Lines>0</Lines>
  <Paragraphs>0</Paragraphs>
  <TotalTime>1</TotalTime>
  <ScaleCrop>false</ScaleCrop>
  <LinksUpToDate>false</LinksUpToDate>
  <CharactersWithSpaces>1180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2025-08-13T06:59:00Z</dcterms:created>
  <dc:creator>admin</dc:creator>
  <cp:lastModifiedBy>ljl</cp:lastModifiedBy>
  <dcterms:modified xsi:type="dcterms:W3CDTF">2025-08-15T01:58:56Z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533888C55BC5442AB77738B294D7622E_12</vt:lpwstr>
  </property>
</Properties>
</file>